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FCA" w:rsidRPr="005B5FCA" w:rsidRDefault="005B5FCA" w:rsidP="005B5FCA">
      <w:pPr>
        <w:spacing w:line="360" w:lineRule="auto"/>
        <w:ind w:firstLineChars="200" w:firstLine="560"/>
        <w:jc w:val="center"/>
        <w:rPr>
          <w:rFonts w:ascii="黑体" w:eastAsia="黑体" w:hAnsi="黑体" w:cs="Times New Roman"/>
          <w:bCs/>
          <w:sz w:val="28"/>
        </w:rPr>
      </w:pPr>
      <w:bookmarkStart w:id="0" w:name="_GoBack"/>
      <w:r w:rsidRPr="005B5FCA">
        <w:rPr>
          <w:rFonts w:ascii="黑体" w:eastAsia="黑体" w:hAnsi="黑体" w:cs="Times New Roman" w:hint="eastAsia"/>
          <w:bCs/>
          <w:sz w:val="28"/>
        </w:rPr>
        <w:t>学校的政策措施</w:t>
      </w:r>
    </w:p>
    <w:bookmarkEnd w:id="0"/>
    <w:p w:rsidR="005B5FCA" w:rsidRPr="00236041" w:rsidRDefault="005B5FCA" w:rsidP="005B5FCA">
      <w:pPr>
        <w:spacing w:line="360" w:lineRule="auto"/>
        <w:ind w:firstLineChars="200" w:firstLine="420"/>
        <w:rPr>
          <w:rFonts w:ascii="宋体" w:hAnsi="宋体" w:cs="Times New Roman" w:hint="eastAsia"/>
          <w:bCs/>
        </w:rPr>
      </w:pPr>
      <w:r w:rsidRPr="00236041">
        <w:rPr>
          <w:rFonts w:ascii="宋体" w:hAnsi="宋体" w:cs="Times New Roman" w:hint="eastAsia"/>
          <w:bCs/>
        </w:rPr>
        <w:t>根据《教育部关于启动高等学校教学质量与教学改革工程精品课程建设工作的通知》文件精神，我校制定了《关于做好精品课程建设规划的通知》（办（教）【2004】45号）和《西北农林科技大学精品课程建设管理办法（试行）》（办（教）【2005】182号）文件，学校决定以我校专业基础课和基础课为主，在5年内建设百门校级精品课程，建设良好的课程推荐申报省级、国家级精品课程。</w:t>
      </w:r>
    </w:p>
    <w:p w:rsidR="005B5FCA" w:rsidRPr="00236041" w:rsidRDefault="005B5FCA" w:rsidP="005B5FCA">
      <w:pPr>
        <w:spacing w:line="360" w:lineRule="auto"/>
        <w:ind w:firstLineChars="200" w:firstLine="420"/>
        <w:rPr>
          <w:rFonts w:ascii="宋体" w:hAnsi="宋体" w:cs="Times New Roman" w:hint="eastAsia"/>
          <w:bCs/>
        </w:rPr>
      </w:pPr>
      <w:r w:rsidRPr="00236041">
        <w:rPr>
          <w:rFonts w:ascii="宋体" w:hAnsi="宋体" w:cs="Times New Roman" w:hint="eastAsia"/>
          <w:bCs/>
        </w:rPr>
        <w:t>依据办法，每年3月初学校下发“关于申报校级精品课程的通知”，通过课程组申请、学院初审、学校教学指导委员会评审、提交校长办公会议后确定该年度校级精品课程。每年4月份组织专家组对所有校级精品课程进行检查，建设优秀者推荐申报省级、国家级精品课程，对检查不合格者提出改进措施并限期3个月内进行整改。</w:t>
      </w:r>
    </w:p>
    <w:p w:rsidR="005B5FCA" w:rsidRPr="00236041" w:rsidRDefault="005B5FCA" w:rsidP="005B5FCA">
      <w:pPr>
        <w:spacing w:line="360" w:lineRule="auto"/>
        <w:ind w:firstLineChars="200" w:firstLine="420"/>
        <w:rPr>
          <w:rFonts w:ascii="宋体" w:hAnsi="宋体" w:cs="Times New Roman" w:hint="eastAsia"/>
          <w:bCs/>
        </w:rPr>
      </w:pPr>
      <w:r w:rsidRPr="00236041">
        <w:rPr>
          <w:rFonts w:ascii="宋体" w:hAnsi="宋体" w:cs="Times New Roman" w:hint="eastAsia"/>
          <w:bCs/>
        </w:rPr>
        <w:t>学校专门设立精品课程专用服务器，并设立专项经费，其中校级精品课程资助1.5万元，省级精品课程资助3万元，国家级奖励配套建设经费８万元。</w:t>
      </w:r>
    </w:p>
    <w:p w:rsidR="005B5FCA" w:rsidRPr="00236041" w:rsidRDefault="005B5FCA" w:rsidP="005B5FCA">
      <w:pPr>
        <w:spacing w:line="360" w:lineRule="auto"/>
        <w:ind w:firstLineChars="200" w:firstLine="420"/>
        <w:rPr>
          <w:rFonts w:ascii="宋体" w:hAnsi="宋体" w:cs="Times New Roman" w:hint="eastAsia"/>
          <w:bCs/>
        </w:rPr>
      </w:pPr>
      <w:r w:rsidRPr="00236041">
        <w:rPr>
          <w:rFonts w:ascii="宋体" w:hAnsi="宋体" w:cs="Times New Roman" w:hint="eastAsia"/>
          <w:bCs/>
        </w:rPr>
        <w:t>同时，自2003年起，我校下发《西北农林科技大学加强多媒体（网络课程）建设实施办法》（校教发【2003】154号）文件，2005年重新修订下发《西北农林科技大学多媒体网络课程建设实施办法（修订）》（校教发</w:t>
      </w:r>
      <w:r w:rsidRPr="00342BAD">
        <w:rPr>
          <w:rFonts w:ascii="宋体" w:hAnsi="宋体" w:cs="Times New Roman" w:hint="eastAsia"/>
          <w:b/>
          <w:bCs/>
        </w:rPr>
        <w:t>【</w:t>
      </w:r>
      <w:r w:rsidRPr="00236041">
        <w:rPr>
          <w:rFonts w:ascii="宋体" w:hAnsi="宋体" w:cs="Times New Roman" w:hint="eastAsia"/>
          <w:bCs/>
        </w:rPr>
        <w:t>2005</w:t>
      </w:r>
      <w:r w:rsidRPr="00342BAD">
        <w:rPr>
          <w:rFonts w:ascii="宋体" w:hAnsi="宋体" w:cs="Times New Roman" w:hint="eastAsia"/>
          <w:bCs/>
        </w:rPr>
        <w:t>】</w:t>
      </w:r>
      <w:r w:rsidRPr="00236041">
        <w:rPr>
          <w:rFonts w:ascii="宋体" w:hAnsi="宋体" w:cs="Times New Roman" w:hint="eastAsia"/>
          <w:bCs/>
        </w:rPr>
        <w:t>183号文件）,依据该办法，学校每两年组织立项学校网络课程项目，每项资助0.5-1.0万元，立项1年后学校组织专家进行结题验收，建设优秀的课程优先参加校级精品课程评审。</w:t>
      </w:r>
    </w:p>
    <w:p w:rsidR="005B5FCA" w:rsidRPr="00236041" w:rsidRDefault="005B5FCA" w:rsidP="005B5FCA">
      <w:pPr>
        <w:spacing w:line="360" w:lineRule="auto"/>
        <w:ind w:firstLineChars="200" w:firstLine="420"/>
        <w:rPr>
          <w:rFonts w:ascii="宋体" w:hAnsi="宋体" w:cs="Times New Roman" w:hint="eastAsia"/>
          <w:bCs/>
        </w:rPr>
      </w:pPr>
      <w:r w:rsidRPr="00645FB5">
        <w:rPr>
          <w:rFonts w:ascii="宋体" w:hAnsi="宋体" w:cs="Times New Roman" w:hint="eastAsia"/>
          <w:bCs/>
        </w:rPr>
        <w:t>经过几年的运行，目前我校共有校级精品课程120门，省级精品课程45门，国家级精品课程12门，共投</w:t>
      </w:r>
      <w:r w:rsidRPr="00236041">
        <w:rPr>
          <w:rFonts w:ascii="宋体" w:hAnsi="宋体" w:cs="Times New Roman" w:hint="eastAsia"/>
          <w:bCs/>
        </w:rPr>
        <w:t>入经费300多万元（含网络课程），建立起了网络课程、校级精品课程、省级精品课程和国家级精品课程平台体系，推进了教育创新和教学改革和优质教育资源共享，全面提高了教育教学质量。</w:t>
      </w:r>
    </w:p>
    <w:p w:rsidR="00A45D97" w:rsidRPr="005B5FCA" w:rsidRDefault="00A45D97"/>
    <w:sectPr w:rsidR="00A45D97" w:rsidRPr="005B5F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178" w:rsidRDefault="004F3178" w:rsidP="005B5FCA">
      <w:r>
        <w:separator/>
      </w:r>
    </w:p>
  </w:endnote>
  <w:endnote w:type="continuationSeparator" w:id="0">
    <w:p w:rsidR="004F3178" w:rsidRDefault="004F3178" w:rsidP="005B5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178" w:rsidRDefault="004F3178" w:rsidP="005B5FCA">
      <w:r>
        <w:separator/>
      </w:r>
    </w:p>
  </w:footnote>
  <w:footnote w:type="continuationSeparator" w:id="0">
    <w:p w:rsidR="004F3178" w:rsidRDefault="004F3178" w:rsidP="005B5F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587"/>
    <w:rsid w:val="004F3178"/>
    <w:rsid w:val="005B5FCA"/>
    <w:rsid w:val="008027BF"/>
    <w:rsid w:val="00A45D97"/>
    <w:rsid w:val="00F14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8C67EE-6EB4-4061-9621-3E0403AD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FCA"/>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5FC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B5FCA"/>
    <w:rPr>
      <w:sz w:val="18"/>
      <w:szCs w:val="18"/>
    </w:rPr>
  </w:style>
  <w:style w:type="paragraph" w:styleId="a4">
    <w:name w:val="footer"/>
    <w:basedOn w:val="a"/>
    <w:link w:val="Char0"/>
    <w:uiPriority w:val="99"/>
    <w:unhideWhenUsed/>
    <w:rsid w:val="005B5FC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B5F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622</Characters>
  <Application>Microsoft Office Word</Application>
  <DocSecurity>0</DocSecurity>
  <Lines>5</Lines>
  <Paragraphs>1</Paragraphs>
  <ScaleCrop>false</ScaleCrop>
  <Company> </Company>
  <LinksUpToDate>false</LinksUpToDate>
  <CharactersWithSpaces>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Yunpeng</dc:creator>
  <cp:keywords/>
  <dc:description/>
  <cp:lastModifiedBy>Wei Yunpeng</cp:lastModifiedBy>
  <cp:revision>2</cp:revision>
  <dcterms:created xsi:type="dcterms:W3CDTF">2015-05-04T03:24:00Z</dcterms:created>
  <dcterms:modified xsi:type="dcterms:W3CDTF">2015-05-04T03:25:00Z</dcterms:modified>
</cp:coreProperties>
</file>